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3B912" w14:textId="5543CD23" w:rsidR="00DF4BA1" w:rsidRPr="00DF4BA1" w:rsidRDefault="00B725E7" w:rsidP="0093598E">
      <w:pPr>
        <w:rPr>
          <w:sz w:val="28"/>
          <w:szCs w:val="28"/>
        </w:rPr>
      </w:pPr>
      <w:r>
        <w:rPr>
          <w:b/>
          <w:bCs/>
          <w:sz w:val="28"/>
          <w:szCs w:val="28"/>
        </w:rPr>
        <w:t xml:space="preserve">Further </w:t>
      </w:r>
      <w:r w:rsidR="00DF4BA1" w:rsidRPr="00DF4BA1">
        <w:rPr>
          <w:b/>
          <w:bCs/>
          <w:sz w:val="28"/>
          <w:szCs w:val="28"/>
        </w:rPr>
        <w:t>Representa</w:t>
      </w:r>
      <w:r w:rsidR="00DF4BA1" w:rsidRPr="00DF4BA1">
        <w:rPr>
          <w:b/>
          <w:bCs/>
          <w:sz w:val="28"/>
          <w:szCs w:val="28"/>
        </w:rPr>
        <w:t>ti</w:t>
      </w:r>
      <w:r w:rsidR="00DF4BA1" w:rsidRPr="00DF4BA1">
        <w:rPr>
          <w:b/>
          <w:bCs/>
          <w:sz w:val="28"/>
          <w:szCs w:val="28"/>
        </w:rPr>
        <w:t>ons re: Amended Planning Applica</w:t>
      </w:r>
      <w:r w:rsidR="00DF4BA1" w:rsidRPr="00DF4BA1">
        <w:rPr>
          <w:b/>
          <w:bCs/>
          <w:sz w:val="28"/>
          <w:szCs w:val="28"/>
        </w:rPr>
        <w:t>ti</w:t>
      </w:r>
      <w:r w:rsidR="00DF4BA1" w:rsidRPr="00DF4BA1">
        <w:rPr>
          <w:b/>
          <w:bCs/>
          <w:sz w:val="28"/>
          <w:szCs w:val="28"/>
        </w:rPr>
        <w:t>ons P24/S2642/FUL,</w:t>
      </w:r>
      <w:r>
        <w:rPr>
          <w:b/>
          <w:bCs/>
          <w:sz w:val="28"/>
          <w:szCs w:val="28"/>
        </w:rPr>
        <w:t xml:space="preserve"> </w:t>
      </w:r>
      <w:r w:rsidR="00DF4BA1" w:rsidRPr="00DF4BA1">
        <w:rPr>
          <w:b/>
          <w:bCs/>
          <w:sz w:val="28"/>
          <w:szCs w:val="28"/>
        </w:rPr>
        <w:t xml:space="preserve">P24/S2652/S73, P24/S2651/DIS </w:t>
      </w:r>
      <w:r>
        <w:rPr>
          <w:b/>
          <w:bCs/>
          <w:sz w:val="28"/>
          <w:szCs w:val="28"/>
        </w:rPr>
        <w:t>following Environment Agency and Thames Water comments</w:t>
      </w:r>
    </w:p>
    <w:p w14:paraId="67BBF772" w14:textId="77777777" w:rsidR="00DF4BA1" w:rsidRDefault="00DF4BA1" w:rsidP="0093598E"/>
    <w:p w14:paraId="78DC075F" w14:textId="6C3FD42F" w:rsidR="0093598E" w:rsidRDefault="0093598E" w:rsidP="0093598E">
      <w:r>
        <w:t xml:space="preserve">TFAG has reviewed the </w:t>
      </w:r>
      <w:r w:rsidRPr="009D6431">
        <w:t>Environment Agency's (EA)</w:t>
      </w:r>
      <w:r>
        <w:t xml:space="preserve"> and other consultees responses to these Planning Applications. We are very surprised that the EA has withdrawn its objections at this point in time </w:t>
      </w:r>
      <w:r w:rsidRPr="009D6431">
        <w:t>despite identifying several issues that would need to be resolved.</w:t>
      </w:r>
    </w:p>
    <w:p w14:paraId="2C13C6D1" w14:textId="77777777" w:rsidR="0093598E" w:rsidRDefault="0093598E" w:rsidP="0093598E"/>
    <w:p w14:paraId="0DBF0AC8" w14:textId="1F0D8E81" w:rsidR="0093598E" w:rsidRDefault="0093598E" w:rsidP="0093598E">
      <w:r>
        <w:t>It is also important </w:t>
      </w:r>
      <w:r w:rsidRPr="009D6431">
        <w:t> to </w:t>
      </w:r>
      <w:r>
        <w:t>note that Thames Water are not prepared to approve the strategy and design put forwards by the applicant for dealing with surface water disposal from across this entire site, and also in part from the Highway.</w:t>
      </w:r>
    </w:p>
    <w:p w14:paraId="750D5FBD" w14:textId="77777777" w:rsidR="0093598E" w:rsidRDefault="0093598E" w:rsidP="0093598E"/>
    <w:p w14:paraId="1D1EC1A2" w14:textId="3005A57B" w:rsidR="0093598E" w:rsidRDefault="0093598E" w:rsidP="0093598E">
      <w:r>
        <w:t>Our reason for saying we are surprised,</w:t>
      </w:r>
      <w:r w:rsidRPr="009D6431">
        <w:t xml:space="preserve"> is</w:t>
      </w:r>
      <w:r>
        <w:t xml:space="preserve"> that the entire </w:t>
      </w:r>
      <w:r w:rsidR="00DF4BA1">
        <w:t>purpose of</w:t>
      </w:r>
      <w:r>
        <w:t xml:space="preserve"> objecting to these applications in the first instance</w:t>
      </w:r>
      <w:r w:rsidR="00DF4BA1">
        <w:t>,</w:t>
      </w:r>
      <w:r>
        <w:t xml:space="preserve"> was to protect the aquifer lying beneath the site, and to ensure that there are adequate measures taken to secure and enforce that objective. A  further </w:t>
      </w:r>
      <w:r w:rsidR="00DF4BA1">
        <w:t>concern</w:t>
      </w:r>
      <w:r>
        <w:t xml:space="preserve"> is to protect this location from surface water flooding problems should the FUL application be approved, by ensuring that there is a robust and workable plan for managing  on site surface water collection and disposal.</w:t>
      </w:r>
    </w:p>
    <w:p w14:paraId="3FF733F3" w14:textId="77777777" w:rsidR="0093598E" w:rsidRDefault="0093598E" w:rsidP="0093598E"/>
    <w:p w14:paraId="0990D1CA" w14:textId="7B93154A" w:rsidR="0093598E" w:rsidRDefault="0093598E" w:rsidP="0093598E">
      <w:r>
        <w:t xml:space="preserve">The requirement to provide robust mechanisms to provide those safeguards has been a specific requirement for a very long time now, and yet, the applicant has not produced a full and comprehensive </w:t>
      </w:r>
      <w:r w:rsidRPr="009D6431">
        <w:t>Environmental Impact Assessment</w:t>
      </w:r>
      <w:r>
        <w:t xml:space="preserve">, nor has it provided a comprehensive source protection strategy and methodology (to include an emergency measures contingency plan to take action should contamination </w:t>
      </w:r>
      <w:r w:rsidRPr="009D6431">
        <w:t>occur</w:t>
      </w:r>
      <w:r>
        <w:t>). </w:t>
      </w:r>
    </w:p>
    <w:p w14:paraId="3655FDB3" w14:textId="52B3597A" w:rsidR="0093598E" w:rsidRDefault="0093598E" w:rsidP="0093598E">
      <w:r>
        <w:t>The surface water discharge application also fails to address a number of key questions and design faults</w:t>
      </w:r>
      <w:r w:rsidR="00DF4BA1">
        <w:t>,</w:t>
      </w:r>
      <w:r>
        <w:t xml:space="preserve"> and as noted by Thames Water is premature.</w:t>
      </w:r>
      <w:r w:rsidR="00DF4BA1">
        <w:t xml:space="preserve"> We concur with that opinion, and do not believe that this Application should have been registered at all, as expressed in our initial representations</w:t>
      </w:r>
    </w:p>
    <w:p w14:paraId="1BF2853C" w14:textId="77777777" w:rsidR="0093598E" w:rsidRDefault="0093598E" w:rsidP="0093598E"/>
    <w:p w14:paraId="41EE1408" w14:textId="77777777" w:rsidR="0093598E" w:rsidRDefault="0093598E" w:rsidP="0093598E">
      <w:r>
        <w:t xml:space="preserve">In those circumstances </w:t>
      </w:r>
      <w:r w:rsidRPr="009D6431">
        <w:t>TFAG strongly believes that it i</w:t>
      </w:r>
      <w:r>
        <w:t>s wholly unacceptable for planning permission to be granted in respect of the 3 interlinked applications currently awaiting determination by SODC.</w:t>
      </w:r>
    </w:p>
    <w:p w14:paraId="65834A73" w14:textId="77777777" w:rsidR="0093598E" w:rsidRDefault="0093598E" w:rsidP="0093598E"/>
    <w:p w14:paraId="78CC0BEB" w14:textId="2B29A767" w:rsidR="0093598E" w:rsidRDefault="0093598E" w:rsidP="0093598E">
      <w:r>
        <w:t xml:space="preserve">We do not agree with the EA that this fundamental and very long outstanding matter can and should be dealt with </w:t>
      </w:r>
      <w:r w:rsidRPr="009D6431">
        <w:t>by way of conditions added to  any planning consent</w:t>
      </w:r>
      <w:r>
        <w:t xml:space="preserve"> as the entire purpose for designating the land as a Source Protection Zone Grade 1 is to protect the aquifer. Until that protection has been proven </w:t>
      </w:r>
      <w:r w:rsidRPr="009D6431">
        <w:t>and a robust source protection strategy agreed by all parties, is in place</w:t>
      </w:r>
      <w:r>
        <w:t>, the reason for the SPZ designation has not been met nor therefore can the issue be addressed by condition.</w:t>
      </w:r>
    </w:p>
    <w:p w14:paraId="46F23706" w14:textId="77777777" w:rsidR="0093598E" w:rsidRDefault="0093598E" w:rsidP="0093598E"/>
    <w:p w14:paraId="5535B65F" w14:textId="385EA3A9" w:rsidR="0093598E" w:rsidRDefault="0093598E" w:rsidP="0093598E">
      <w:r>
        <w:t xml:space="preserve">We concur with the EA’s requirement for any plan to account for grout volumes on a constant running basis and for there to be a comprehensive and regular sampling regime of both the materials being used,  materials escaping and reaching the groundwater/water table both before, during and after completion of the works </w:t>
      </w:r>
      <w:r w:rsidRPr="009D6431">
        <w:t xml:space="preserve">and for the ongoing monitoring of groundwater quality/ conditions.  These points must be </w:t>
      </w:r>
      <w:r w:rsidRPr="009D6431">
        <w:lastRenderedPageBreak/>
        <w:t>covered in any agreed source protection strategy before any planning consent be granted.</w:t>
      </w:r>
    </w:p>
    <w:p w14:paraId="08A24883" w14:textId="77777777" w:rsidR="0093598E" w:rsidRDefault="0093598E" w:rsidP="0093598E"/>
    <w:p w14:paraId="54C46F94" w14:textId="67597B10" w:rsidR="0093598E" w:rsidRDefault="0093598E" w:rsidP="0093598E">
      <w:r>
        <w:t>Secondly, as the EA has suggested that these works may require a Permit from the EA, we would also suggest that no Planning consent should be approved prior to the necessary permit being granted (or confirmed to be unnecessary should that be the case</w:t>
      </w:r>
      <w:r w:rsidR="009D6431">
        <w:t>)</w:t>
      </w:r>
      <w:r>
        <w:t>.</w:t>
      </w:r>
    </w:p>
    <w:p w14:paraId="034E26D6" w14:textId="77777777" w:rsidR="009E1C49" w:rsidRDefault="009E1C49" w:rsidP="0093598E"/>
    <w:p w14:paraId="42AA8C68" w14:textId="7C9F0E2F" w:rsidR="009E1C49" w:rsidRDefault="009E1C49" w:rsidP="0093598E">
      <w:r>
        <w:t>TFAG 10/3/2025</w:t>
      </w:r>
    </w:p>
    <w:p w14:paraId="0EF95E21" w14:textId="77777777" w:rsidR="0093598E" w:rsidRDefault="0093598E" w:rsidP="0093598E"/>
    <w:p w14:paraId="1BBDD6FF" w14:textId="77777777" w:rsidR="008A5756" w:rsidRDefault="008A5756"/>
    <w:sectPr w:rsidR="008A57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IDFont+F1">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98E"/>
    <w:rsid w:val="008A5756"/>
    <w:rsid w:val="0093598E"/>
    <w:rsid w:val="00975468"/>
    <w:rsid w:val="009D6431"/>
    <w:rsid w:val="009E1C49"/>
    <w:rsid w:val="00AA22F1"/>
    <w:rsid w:val="00B50F33"/>
    <w:rsid w:val="00B725E7"/>
    <w:rsid w:val="00DF4BA1"/>
    <w:rsid w:val="00F66E80"/>
    <w:rsid w:val="00F858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84B06"/>
  <w15:chartTrackingRefBased/>
  <w15:docId w15:val="{EEED463F-15E4-4A48-9397-205683D2A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598E"/>
    <w:pPr>
      <w:spacing w:after="0" w:line="240" w:lineRule="auto"/>
    </w:pPr>
    <w:rPr>
      <w:rFonts w:ascii="Aptos" w:hAnsi="Aptos" w:cs="Aptos"/>
      <w:kern w:val="0"/>
      <w:sz w:val="24"/>
      <w:szCs w:val="24"/>
      <w:lang w:eastAsia="en-GB"/>
      <w14:ligatures w14:val="none"/>
    </w:rPr>
  </w:style>
  <w:style w:type="paragraph" w:styleId="Heading1">
    <w:name w:val="heading 1"/>
    <w:basedOn w:val="Normal"/>
    <w:next w:val="Normal"/>
    <w:link w:val="Heading1Char"/>
    <w:uiPriority w:val="9"/>
    <w:qFormat/>
    <w:rsid w:val="0093598E"/>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93598E"/>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93598E"/>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93598E"/>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93598E"/>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93598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93598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93598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93598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598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598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598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598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598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59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59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59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598E"/>
    <w:rPr>
      <w:rFonts w:eastAsiaTheme="majorEastAsia" w:cstheme="majorBidi"/>
      <w:color w:val="272727" w:themeColor="text1" w:themeTint="D8"/>
    </w:rPr>
  </w:style>
  <w:style w:type="paragraph" w:styleId="Title">
    <w:name w:val="Title"/>
    <w:basedOn w:val="Normal"/>
    <w:next w:val="Normal"/>
    <w:link w:val="TitleChar"/>
    <w:uiPriority w:val="10"/>
    <w:qFormat/>
    <w:rsid w:val="0093598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9359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598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9359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598E"/>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93598E"/>
    <w:rPr>
      <w:i/>
      <w:iCs/>
      <w:color w:val="404040" w:themeColor="text1" w:themeTint="BF"/>
    </w:rPr>
  </w:style>
  <w:style w:type="paragraph" w:styleId="ListParagraph">
    <w:name w:val="List Paragraph"/>
    <w:basedOn w:val="Normal"/>
    <w:uiPriority w:val="34"/>
    <w:qFormat/>
    <w:rsid w:val="0093598E"/>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93598E"/>
    <w:rPr>
      <w:i/>
      <w:iCs/>
      <w:color w:val="2F5496" w:themeColor="accent1" w:themeShade="BF"/>
    </w:rPr>
  </w:style>
  <w:style w:type="paragraph" w:styleId="IntenseQuote">
    <w:name w:val="Intense Quote"/>
    <w:basedOn w:val="Normal"/>
    <w:next w:val="Normal"/>
    <w:link w:val="IntenseQuoteChar"/>
    <w:uiPriority w:val="30"/>
    <w:qFormat/>
    <w:rsid w:val="0093598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hAnsiTheme="minorHAnsi" w:cstheme="minorBidi"/>
      <w:i/>
      <w:iCs/>
      <w:color w:val="2F5496"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93598E"/>
    <w:rPr>
      <w:i/>
      <w:iCs/>
      <w:color w:val="2F5496" w:themeColor="accent1" w:themeShade="BF"/>
    </w:rPr>
  </w:style>
  <w:style w:type="character" w:styleId="IntenseReference">
    <w:name w:val="Intense Reference"/>
    <w:basedOn w:val="DefaultParagraphFont"/>
    <w:uiPriority w:val="32"/>
    <w:qFormat/>
    <w:rsid w:val="0093598E"/>
    <w:rPr>
      <w:b/>
      <w:bCs/>
      <w:smallCaps/>
      <w:color w:val="2F5496" w:themeColor="accent1" w:themeShade="BF"/>
      <w:spacing w:val="5"/>
    </w:rPr>
  </w:style>
  <w:style w:type="character" w:customStyle="1" w:styleId="fontstyle01">
    <w:name w:val="fontstyle01"/>
    <w:basedOn w:val="DefaultParagraphFont"/>
    <w:rsid w:val="00DF4BA1"/>
    <w:rPr>
      <w:rFonts w:ascii="CIDFont+F1" w:hAnsi="CIDFont+F1" w:hint="default"/>
      <w:b/>
      <w:bCs/>
      <w:i w:val="0"/>
      <w:iCs w:val="0"/>
      <w:color w:val="212529"/>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543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boros</dc:creator>
  <cp:keywords/>
  <dc:description/>
  <cp:lastModifiedBy>peter boros</cp:lastModifiedBy>
  <cp:revision>4</cp:revision>
  <dcterms:created xsi:type="dcterms:W3CDTF">2025-03-09T10:19:00Z</dcterms:created>
  <dcterms:modified xsi:type="dcterms:W3CDTF">2025-03-10T11:34:00Z</dcterms:modified>
</cp:coreProperties>
</file>