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81FAA" w14:textId="3A353706" w:rsidR="00105B90" w:rsidRPr="00F257D5" w:rsidRDefault="00F31862">
      <w:pPr>
        <w:rPr>
          <w:b/>
          <w:bCs/>
          <w:u w:val="single"/>
          <w:lang w:val="en-US"/>
        </w:rPr>
      </w:pPr>
      <w:r>
        <w:rPr>
          <w:b/>
          <w:bCs/>
          <w:u w:val="single"/>
          <w:lang w:val="en-US"/>
        </w:rPr>
        <w:t>Thames Farm Action Group -</w:t>
      </w:r>
      <w:r w:rsidR="00105B90" w:rsidRPr="00F257D5">
        <w:rPr>
          <w:b/>
          <w:bCs/>
          <w:u w:val="single"/>
          <w:lang w:val="en-US"/>
        </w:rPr>
        <w:t xml:space="preserve"> Rep</w:t>
      </w:r>
      <w:r>
        <w:rPr>
          <w:b/>
          <w:bCs/>
          <w:u w:val="single"/>
          <w:lang w:val="en-US"/>
        </w:rPr>
        <w:t>resentations</w:t>
      </w:r>
      <w:r w:rsidR="00105B90" w:rsidRPr="00F257D5">
        <w:rPr>
          <w:b/>
          <w:bCs/>
          <w:u w:val="single"/>
          <w:lang w:val="en-US"/>
        </w:rPr>
        <w:t xml:space="preserve"> </w:t>
      </w:r>
      <w:r>
        <w:rPr>
          <w:b/>
          <w:bCs/>
          <w:u w:val="single"/>
          <w:lang w:val="en-US"/>
        </w:rPr>
        <w:t>Re</w:t>
      </w:r>
      <w:r w:rsidR="00105B90" w:rsidRPr="00F257D5">
        <w:rPr>
          <w:b/>
          <w:bCs/>
          <w:u w:val="single"/>
          <w:lang w:val="en-US"/>
        </w:rPr>
        <w:t xml:space="preserve"> Planning Application P25/S0350/FUL</w:t>
      </w:r>
      <w:r w:rsidR="00E23664">
        <w:rPr>
          <w:b/>
          <w:bCs/>
          <w:u w:val="single"/>
          <w:lang w:val="en-US"/>
        </w:rPr>
        <w:t xml:space="preserve"> (Pennyhill / R/O Crossways</w:t>
      </w:r>
    </w:p>
    <w:p w14:paraId="31822FB9" w14:textId="43474EEE" w:rsidR="00105B90" w:rsidRDefault="00105B90">
      <w:pPr>
        <w:rPr>
          <w:lang w:val="en-US"/>
        </w:rPr>
      </w:pPr>
      <w:r>
        <w:rPr>
          <w:lang w:val="en-US"/>
        </w:rPr>
        <w:t>Dear SODC,</w:t>
      </w:r>
    </w:p>
    <w:p w14:paraId="572DA14D" w14:textId="0185C3DB" w:rsidR="00105B90" w:rsidRDefault="00105B90">
      <w:pPr>
        <w:rPr>
          <w:lang w:val="en-US"/>
        </w:rPr>
      </w:pPr>
      <w:r>
        <w:rPr>
          <w:lang w:val="en-US"/>
        </w:rPr>
        <w:t>We have been notified of the above Planning Application currently before SODC for consideration.</w:t>
      </w:r>
    </w:p>
    <w:p w14:paraId="2A334F63" w14:textId="15572E25" w:rsidR="00105B90" w:rsidRDefault="00105B90">
      <w:pPr>
        <w:rPr>
          <w:lang w:val="en-US"/>
        </w:rPr>
      </w:pPr>
      <w:r>
        <w:rPr>
          <w:lang w:val="en-US"/>
        </w:rPr>
        <w:t>We object to this Planning Application for the following reasons:</w:t>
      </w:r>
    </w:p>
    <w:p w14:paraId="199B2872" w14:textId="4FA466F5" w:rsidR="00105B90" w:rsidRDefault="00105B90" w:rsidP="00105B90">
      <w:pPr>
        <w:pStyle w:val="ListParagraph"/>
        <w:numPr>
          <w:ilvl w:val="0"/>
          <w:numId w:val="1"/>
        </w:numPr>
        <w:rPr>
          <w:lang w:val="en-US"/>
        </w:rPr>
      </w:pPr>
      <w:r>
        <w:rPr>
          <w:lang w:val="en-US"/>
        </w:rPr>
        <w:t xml:space="preserve">There </w:t>
      </w:r>
      <w:r w:rsidR="00F31862">
        <w:rPr>
          <w:lang w:val="en-US"/>
        </w:rPr>
        <w:t>may still be</w:t>
      </w:r>
      <w:r>
        <w:rPr>
          <w:lang w:val="en-US"/>
        </w:rPr>
        <w:t xml:space="preserve"> an inadequate understanding of the geotechnical/hydrological make up of the underlying ground conditions, which are known and demonstrated by the applicant to contain dissolution features, much the same as those present within the adjoining Thames Farm site</w:t>
      </w:r>
    </w:p>
    <w:p w14:paraId="730C5786" w14:textId="77777777" w:rsidR="00F257D5" w:rsidRDefault="00F257D5" w:rsidP="00F257D5">
      <w:pPr>
        <w:pStyle w:val="ListParagraph"/>
        <w:rPr>
          <w:lang w:val="en-US"/>
        </w:rPr>
      </w:pPr>
    </w:p>
    <w:p w14:paraId="0DE80F01" w14:textId="452BA9FC" w:rsidR="00105B90" w:rsidRDefault="00F257D5" w:rsidP="00105B90">
      <w:pPr>
        <w:pStyle w:val="ListParagraph"/>
        <w:numPr>
          <w:ilvl w:val="0"/>
          <w:numId w:val="1"/>
        </w:numPr>
        <w:rPr>
          <w:lang w:val="en-US"/>
        </w:rPr>
      </w:pPr>
      <w:r>
        <w:rPr>
          <w:lang w:val="en-US"/>
        </w:rPr>
        <w:t>Without this detailed information, it is not possible to determine what groundworks might be necessary to ensure that the development can be safely constructed without impacting either the wider environment, or impacting the nearby aquifer</w:t>
      </w:r>
      <w:r w:rsidR="00F31862">
        <w:rPr>
          <w:lang w:val="en-US"/>
        </w:rPr>
        <w:t>,</w:t>
      </w:r>
      <w:r>
        <w:rPr>
          <w:lang w:val="en-US"/>
        </w:rPr>
        <w:t xml:space="preserve"> protected by the SPZ1 designation afforded the site by the Environment Agency</w:t>
      </w:r>
      <w:r w:rsidR="00F31862">
        <w:rPr>
          <w:lang w:val="en-US"/>
        </w:rPr>
        <w:t>.</w:t>
      </w:r>
    </w:p>
    <w:p w14:paraId="690684D4" w14:textId="77777777" w:rsidR="00F31862" w:rsidRPr="00F31862" w:rsidRDefault="00F31862" w:rsidP="00F31862">
      <w:pPr>
        <w:pStyle w:val="ListParagraph"/>
        <w:rPr>
          <w:lang w:val="en-US"/>
        </w:rPr>
      </w:pPr>
    </w:p>
    <w:p w14:paraId="2AEBABFD" w14:textId="77777777" w:rsidR="00F31862" w:rsidRPr="00105B90" w:rsidRDefault="00F31862" w:rsidP="00F31862">
      <w:pPr>
        <w:pStyle w:val="ListParagraph"/>
        <w:numPr>
          <w:ilvl w:val="0"/>
          <w:numId w:val="1"/>
        </w:numPr>
        <w:rPr>
          <w:lang w:val="en-US"/>
        </w:rPr>
      </w:pPr>
      <w:r>
        <w:rPr>
          <w:lang w:val="en-US"/>
        </w:rPr>
        <w:t>It is by no means certain that a development of this site can be undertaken to incorporate a SUDS based SW drainage regime, given the inability to robustly demonstrate what groundworks may be necessary to facilitate and development</w:t>
      </w:r>
    </w:p>
    <w:p w14:paraId="74A6B9D2" w14:textId="77777777" w:rsidR="00F257D5" w:rsidRPr="00F257D5" w:rsidRDefault="00F257D5" w:rsidP="00F257D5">
      <w:pPr>
        <w:pStyle w:val="ListParagraph"/>
        <w:rPr>
          <w:lang w:val="en-US"/>
        </w:rPr>
      </w:pPr>
    </w:p>
    <w:p w14:paraId="22DC333F" w14:textId="743D44CD" w:rsidR="00F257D5" w:rsidRDefault="00F257D5" w:rsidP="00105B90">
      <w:pPr>
        <w:pStyle w:val="ListParagraph"/>
        <w:numPr>
          <w:ilvl w:val="0"/>
          <w:numId w:val="1"/>
        </w:numPr>
        <w:rPr>
          <w:lang w:val="en-US"/>
        </w:rPr>
      </w:pPr>
      <w:r>
        <w:rPr>
          <w:lang w:val="en-US"/>
        </w:rPr>
        <w:t>The proposals are contrary to the provisions of both the Henley and Harpsden Neighbourhood Plan and also the Shiplake Neighbourhood Plan, and the site has no allocation as being considered to be suitable for development under either plan</w:t>
      </w:r>
    </w:p>
    <w:p w14:paraId="13D7B322" w14:textId="77777777" w:rsidR="00F257D5" w:rsidRPr="00F257D5" w:rsidRDefault="00F257D5" w:rsidP="00F257D5">
      <w:pPr>
        <w:pStyle w:val="ListParagraph"/>
        <w:rPr>
          <w:lang w:val="en-US"/>
        </w:rPr>
      </w:pPr>
    </w:p>
    <w:p w14:paraId="32481EF0" w14:textId="2EBAF98A" w:rsidR="00F257D5" w:rsidRDefault="00F257D5" w:rsidP="00105B90">
      <w:pPr>
        <w:pStyle w:val="ListParagraph"/>
        <w:numPr>
          <w:ilvl w:val="0"/>
          <w:numId w:val="1"/>
        </w:numPr>
        <w:rPr>
          <w:lang w:val="en-US"/>
        </w:rPr>
      </w:pPr>
      <w:r>
        <w:rPr>
          <w:lang w:val="en-US"/>
        </w:rPr>
        <w:t xml:space="preserve">The site cannot be referred to as an </w:t>
      </w:r>
      <w:r w:rsidR="00E23664">
        <w:rPr>
          <w:lang w:val="en-US"/>
        </w:rPr>
        <w:t>‘</w:t>
      </w:r>
      <w:r>
        <w:rPr>
          <w:lang w:val="en-US"/>
        </w:rPr>
        <w:t>infill</w:t>
      </w:r>
      <w:r w:rsidR="00E23664">
        <w:rPr>
          <w:lang w:val="en-US"/>
        </w:rPr>
        <w:t>’</w:t>
      </w:r>
      <w:r>
        <w:rPr>
          <w:lang w:val="en-US"/>
        </w:rPr>
        <w:t xml:space="preserve"> development. Nor is it bounded by development on all sides</w:t>
      </w:r>
      <w:r w:rsidR="00F31862">
        <w:rPr>
          <w:lang w:val="en-US"/>
        </w:rPr>
        <w:t>. It also cannot be</w:t>
      </w:r>
      <w:r>
        <w:rPr>
          <w:lang w:val="en-US"/>
        </w:rPr>
        <w:t xml:space="preserve"> certain </w:t>
      </w:r>
      <w:r w:rsidR="00F31862">
        <w:rPr>
          <w:lang w:val="en-US"/>
        </w:rPr>
        <w:t xml:space="preserve">at this point, </w:t>
      </w:r>
      <w:r>
        <w:rPr>
          <w:lang w:val="en-US"/>
        </w:rPr>
        <w:t xml:space="preserve">that the extant Planning Permission at Thames Farm can be undertaken in accordance with the </w:t>
      </w:r>
      <w:r w:rsidR="00F31862">
        <w:rPr>
          <w:lang w:val="en-US"/>
        </w:rPr>
        <w:t>o</w:t>
      </w:r>
      <w:r>
        <w:rPr>
          <w:lang w:val="en-US"/>
        </w:rPr>
        <w:t xml:space="preserve">utline consent that currently exists. This is notwithstanding that technically due to the minor start on development at the access point, implementation </w:t>
      </w:r>
      <w:r w:rsidR="00E23664">
        <w:rPr>
          <w:lang w:val="en-US"/>
        </w:rPr>
        <w:t xml:space="preserve">of </w:t>
      </w:r>
      <w:r w:rsidR="00F31862">
        <w:rPr>
          <w:lang w:val="en-US"/>
        </w:rPr>
        <w:t xml:space="preserve">that </w:t>
      </w:r>
      <w:r w:rsidR="00E23664">
        <w:rPr>
          <w:lang w:val="en-US"/>
        </w:rPr>
        <w:t xml:space="preserve">consent </w:t>
      </w:r>
      <w:r>
        <w:rPr>
          <w:lang w:val="en-US"/>
        </w:rPr>
        <w:t>has commenced.</w:t>
      </w:r>
    </w:p>
    <w:p w14:paraId="7122BFEE" w14:textId="77777777" w:rsidR="00E23664" w:rsidRPr="00E23664" w:rsidRDefault="00E23664" w:rsidP="00E23664">
      <w:pPr>
        <w:pStyle w:val="ListParagraph"/>
        <w:rPr>
          <w:lang w:val="en-US"/>
        </w:rPr>
      </w:pPr>
    </w:p>
    <w:p w14:paraId="38716454" w14:textId="382F4097" w:rsidR="00E23664" w:rsidRDefault="00E23664" w:rsidP="00105B90">
      <w:pPr>
        <w:pStyle w:val="ListParagraph"/>
        <w:numPr>
          <w:ilvl w:val="0"/>
          <w:numId w:val="1"/>
        </w:numPr>
        <w:rPr>
          <w:lang w:val="en-US"/>
        </w:rPr>
      </w:pPr>
      <w:r>
        <w:rPr>
          <w:lang w:val="en-US"/>
        </w:rPr>
        <w:t xml:space="preserve">It would be wholly illogical for infill developments to be </w:t>
      </w:r>
      <w:r w:rsidR="00F31862">
        <w:rPr>
          <w:lang w:val="en-US"/>
        </w:rPr>
        <w:t>self-perpetuating</w:t>
      </w:r>
      <w:r>
        <w:rPr>
          <w:lang w:val="en-US"/>
        </w:rPr>
        <w:t xml:space="preserve"> simply by virtue of a prior adjacent designation as infill as is the case here in respect of the Crossways development</w:t>
      </w:r>
      <w:r w:rsidR="00505E36">
        <w:rPr>
          <w:lang w:val="en-US"/>
        </w:rPr>
        <w:t>.</w:t>
      </w:r>
    </w:p>
    <w:p w14:paraId="72D1B30C" w14:textId="77777777" w:rsidR="00505E36" w:rsidRPr="00505E36" w:rsidRDefault="00505E36" w:rsidP="00505E36">
      <w:pPr>
        <w:pStyle w:val="ListParagraph"/>
        <w:rPr>
          <w:lang w:val="en-US"/>
        </w:rPr>
      </w:pPr>
    </w:p>
    <w:p w14:paraId="79A2BA4A" w14:textId="17154FD6" w:rsidR="00505E36" w:rsidRPr="00505E36" w:rsidRDefault="00505E36" w:rsidP="00505E36">
      <w:pPr>
        <w:rPr>
          <w:lang w:val="en-US"/>
        </w:rPr>
      </w:pPr>
      <w:r>
        <w:rPr>
          <w:lang w:val="en-US"/>
        </w:rPr>
        <w:t>TFAG 10 March 2025</w:t>
      </w:r>
    </w:p>
    <w:p w14:paraId="7B094086" w14:textId="77777777" w:rsidR="00E23664" w:rsidRPr="00E23664" w:rsidRDefault="00E23664" w:rsidP="00E23664">
      <w:pPr>
        <w:pStyle w:val="ListParagraph"/>
        <w:rPr>
          <w:lang w:val="en-US"/>
        </w:rPr>
      </w:pPr>
    </w:p>
    <w:sectPr w:rsidR="00E23664" w:rsidRPr="00E236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813088"/>
    <w:multiLevelType w:val="hybridMultilevel"/>
    <w:tmpl w:val="A56CBA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0197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B90"/>
    <w:rsid w:val="00105B90"/>
    <w:rsid w:val="00505E36"/>
    <w:rsid w:val="00594549"/>
    <w:rsid w:val="00815E26"/>
    <w:rsid w:val="008A5756"/>
    <w:rsid w:val="00AA779E"/>
    <w:rsid w:val="00B50F33"/>
    <w:rsid w:val="00E23664"/>
    <w:rsid w:val="00F257D5"/>
    <w:rsid w:val="00F31862"/>
    <w:rsid w:val="00F66E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CC9E0"/>
  <w15:chartTrackingRefBased/>
  <w15:docId w15:val="{452EB30B-6DC7-4B8A-B6C2-6BA8FD6A2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5B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05B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05B9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05B9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05B9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05B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5B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5B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5B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5B9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05B9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05B9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05B9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05B9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05B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5B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5B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5B90"/>
    <w:rPr>
      <w:rFonts w:eastAsiaTheme="majorEastAsia" w:cstheme="majorBidi"/>
      <w:color w:val="272727" w:themeColor="text1" w:themeTint="D8"/>
    </w:rPr>
  </w:style>
  <w:style w:type="paragraph" w:styleId="Title">
    <w:name w:val="Title"/>
    <w:basedOn w:val="Normal"/>
    <w:next w:val="Normal"/>
    <w:link w:val="TitleChar"/>
    <w:uiPriority w:val="10"/>
    <w:qFormat/>
    <w:rsid w:val="00105B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5B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5B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5B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5B90"/>
    <w:pPr>
      <w:spacing w:before="160"/>
      <w:jc w:val="center"/>
    </w:pPr>
    <w:rPr>
      <w:i/>
      <w:iCs/>
      <w:color w:val="404040" w:themeColor="text1" w:themeTint="BF"/>
    </w:rPr>
  </w:style>
  <w:style w:type="character" w:customStyle="1" w:styleId="QuoteChar">
    <w:name w:val="Quote Char"/>
    <w:basedOn w:val="DefaultParagraphFont"/>
    <w:link w:val="Quote"/>
    <w:uiPriority w:val="29"/>
    <w:rsid w:val="00105B90"/>
    <w:rPr>
      <w:i/>
      <w:iCs/>
      <w:color w:val="404040" w:themeColor="text1" w:themeTint="BF"/>
    </w:rPr>
  </w:style>
  <w:style w:type="paragraph" w:styleId="ListParagraph">
    <w:name w:val="List Paragraph"/>
    <w:basedOn w:val="Normal"/>
    <w:uiPriority w:val="34"/>
    <w:qFormat/>
    <w:rsid w:val="00105B90"/>
    <w:pPr>
      <w:ind w:left="720"/>
      <w:contextualSpacing/>
    </w:pPr>
  </w:style>
  <w:style w:type="character" w:styleId="IntenseEmphasis">
    <w:name w:val="Intense Emphasis"/>
    <w:basedOn w:val="DefaultParagraphFont"/>
    <w:uiPriority w:val="21"/>
    <w:qFormat/>
    <w:rsid w:val="00105B90"/>
    <w:rPr>
      <w:i/>
      <w:iCs/>
      <w:color w:val="2F5496" w:themeColor="accent1" w:themeShade="BF"/>
    </w:rPr>
  </w:style>
  <w:style w:type="paragraph" w:styleId="IntenseQuote">
    <w:name w:val="Intense Quote"/>
    <w:basedOn w:val="Normal"/>
    <w:next w:val="Normal"/>
    <w:link w:val="IntenseQuoteChar"/>
    <w:uiPriority w:val="30"/>
    <w:qFormat/>
    <w:rsid w:val="00105B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05B90"/>
    <w:rPr>
      <w:i/>
      <w:iCs/>
      <w:color w:val="2F5496" w:themeColor="accent1" w:themeShade="BF"/>
    </w:rPr>
  </w:style>
  <w:style w:type="character" w:styleId="IntenseReference">
    <w:name w:val="Intense Reference"/>
    <w:basedOn w:val="DefaultParagraphFont"/>
    <w:uiPriority w:val="32"/>
    <w:qFormat/>
    <w:rsid w:val="00105B9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297</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boros</dc:creator>
  <cp:keywords/>
  <dc:description/>
  <cp:lastModifiedBy>peter boros</cp:lastModifiedBy>
  <cp:revision>3</cp:revision>
  <dcterms:created xsi:type="dcterms:W3CDTF">2025-03-09T11:36:00Z</dcterms:created>
  <dcterms:modified xsi:type="dcterms:W3CDTF">2025-03-10T11:57:00Z</dcterms:modified>
</cp:coreProperties>
</file>